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FF6E" w14:textId="77777777" w:rsidR="00EC03A5" w:rsidRPr="007A4A8C" w:rsidRDefault="00EC03A5" w:rsidP="007A4A8C">
      <w:pPr>
        <w:spacing w:after="0"/>
        <w:rPr>
          <w:b/>
        </w:rPr>
      </w:pPr>
      <w:bookmarkStart w:id="0" w:name="_GoBack"/>
      <w:bookmarkEnd w:id="0"/>
    </w:p>
    <w:p w14:paraId="7A067AA8" w14:textId="77777777" w:rsidR="001C20DD" w:rsidRPr="001C20DD" w:rsidRDefault="00DC4C91" w:rsidP="000B01A4">
      <w:pPr>
        <w:pStyle w:val="ListParagraph"/>
        <w:numPr>
          <w:ilvl w:val="0"/>
          <w:numId w:val="1"/>
        </w:numPr>
        <w:spacing w:after="0"/>
        <w:rPr>
          <w:color w:val="0000FF"/>
        </w:rPr>
      </w:pPr>
      <w:r>
        <w:t>Working group n</w:t>
      </w:r>
      <w:r w:rsidR="000B01A4" w:rsidRPr="003110FB">
        <w:t>ame:</w:t>
      </w:r>
      <w:r w:rsidR="00497E5F">
        <w:t xml:space="preserve"> </w:t>
      </w:r>
    </w:p>
    <w:p w14:paraId="3C577A2C" w14:textId="77777777" w:rsidR="001C20DD" w:rsidRDefault="001C20DD" w:rsidP="001C20DD">
      <w:pPr>
        <w:pStyle w:val="ListParagraph"/>
        <w:spacing w:after="0"/>
      </w:pPr>
    </w:p>
    <w:p w14:paraId="7FC6DE0C" w14:textId="659C683B" w:rsidR="000B01A4" w:rsidRPr="00F918CE" w:rsidRDefault="00497E5F" w:rsidP="001C20DD">
      <w:pPr>
        <w:pStyle w:val="ListParagraph"/>
        <w:spacing w:after="0"/>
        <w:rPr>
          <w:color w:val="0000FF"/>
        </w:rPr>
      </w:pPr>
      <w:r w:rsidRPr="00F918CE">
        <w:rPr>
          <w:i/>
          <w:color w:val="0000FF"/>
        </w:rPr>
        <w:t>Laboratory Working Group</w:t>
      </w:r>
    </w:p>
    <w:p w14:paraId="687E93F0" w14:textId="77777777" w:rsidR="000B01A4" w:rsidRPr="003110FB" w:rsidRDefault="000B01A4" w:rsidP="000B01A4">
      <w:pPr>
        <w:pStyle w:val="ListParagraph"/>
        <w:spacing w:after="0"/>
      </w:pPr>
    </w:p>
    <w:p w14:paraId="02F6C28E" w14:textId="77777777" w:rsidR="001C20DD" w:rsidRPr="00F854D5" w:rsidRDefault="00DC4C91" w:rsidP="007A4A8C">
      <w:pPr>
        <w:pStyle w:val="ListParagraph"/>
        <w:numPr>
          <w:ilvl w:val="0"/>
          <w:numId w:val="1"/>
        </w:numPr>
        <w:spacing w:after="0"/>
        <w:rPr>
          <w:color w:val="0000FF"/>
        </w:rPr>
      </w:pPr>
      <w:r>
        <w:t>Individual s</w:t>
      </w:r>
      <w:r w:rsidR="007746E2" w:rsidRPr="003110FB">
        <w:t xml:space="preserve">ponsor(s): </w:t>
      </w:r>
      <w:r w:rsidR="00497E5F">
        <w:t xml:space="preserve"> </w:t>
      </w:r>
    </w:p>
    <w:p w14:paraId="5F4E5823" w14:textId="77777777" w:rsidR="00F854D5" w:rsidRPr="001C20DD" w:rsidRDefault="00F854D5" w:rsidP="00F854D5">
      <w:pPr>
        <w:pStyle w:val="ListParagraph"/>
        <w:spacing w:after="0"/>
        <w:rPr>
          <w:color w:val="0000FF"/>
        </w:rPr>
      </w:pPr>
    </w:p>
    <w:p w14:paraId="67F9FC38" w14:textId="09948AF7" w:rsidR="000B01A4" w:rsidRPr="00FA57F1" w:rsidRDefault="00497E5F" w:rsidP="001C20DD">
      <w:pPr>
        <w:pStyle w:val="ListParagraph"/>
        <w:spacing w:after="0"/>
        <w:rPr>
          <w:i/>
          <w:color w:val="0000FF"/>
        </w:rPr>
      </w:pPr>
      <w:r w:rsidRPr="00F918CE">
        <w:rPr>
          <w:i/>
          <w:color w:val="0000FF"/>
        </w:rPr>
        <w:t>Shane A. Johnson</w:t>
      </w:r>
      <w:r w:rsidR="00FA57F1">
        <w:rPr>
          <w:i/>
          <w:color w:val="0000FF"/>
        </w:rPr>
        <w:t xml:space="preserve">, </w:t>
      </w:r>
      <w:r w:rsidR="00FA57F1" w:rsidRPr="00FA57F1">
        <w:rPr>
          <w:i/>
          <w:color w:val="0000FF"/>
        </w:rPr>
        <w:t>SJ3D Holdings, Inc.</w:t>
      </w:r>
    </w:p>
    <w:p w14:paraId="7C4DD964" w14:textId="77777777" w:rsidR="000B01A4" w:rsidRPr="003110FB" w:rsidRDefault="000B01A4" w:rsidP="000B01A4">
      <w:pPr>
        <w:spacing w:after="0"/>
      </w:pPr>
    </w:p>
    <w:p w14:paraId="40D3AA47" w14:textId="77777777" w:rsidR="001C20DD" w:rsidRPr="001C20DD" w:rsidRDefault="00DC4C91" w:rsidP="00F918CE">
      <w:pPr>
        <w:pStyle w:val="ListParagraph"/>
        <w:numPr>
          <w:ilvl w:val="0"/>
          <w:numId w:val="1"/>
        </w:numPr>
        <w:spacing w:after="0"/>
        <w:rPr>
          <w:i/>
          <w:color w:val="0000FF"/>
        </w:rPr>
      </w:pPr>
      <w:r>
        <w:t>Describe the r</w:t>
      </w:r>
      <w:r w:rsidR="000B01A4" w:rsidRPr="003110FB">
        <w:t>ecommendation:</w:t>
      </w:r>
      <w:r w:rsidR="00497E5F">
        <w:t xml:space="preserve"> </w:t>
      </w:r>
      <w:r w:rsidR="0040499D">
        <w:t xml:space="preserve"> </w:t>
      </w:r>
    </w:p>
    <w:p w14:paraId="6FAEBE5E" w14:textId="77777777" w:rsidR="001C20DD" w:rsidRDefault="001C20DD" w:rsidP="001C20DD">
      <w:pPr>
        <w:pStyle w:val="ListParagraph"/>
        <w:spacing w:after="0"/>
      </w:pPr>
    </w:p>
    <w:p w14:paraId="5199C47E" w14:textId="13383DFD" w:rsidR="00B33372" w:rsidRDefault="00497E5F" w:rsidP="001C20DD">
      <w:pPr>
        <w:pStyle w:val="ListParagraph"/>
        <w:spacing w:after="0"/>
        <w:jc w:val="both"/>
        <w:rPr>
          <w:i/>
          <w:color w:val="0000FF"/>
        </w:rPr>
      </w:pPr>
      <w:r w:rsidRPr="00F918CE">
        <w:rPr>
          <w:i/>
          <w:color w:val="0000FF"/>
        </w:rPr>
        <w:t xml:space="preserve">With respect to ownership interest, the recommendation is to </w:t>
      </w:r>
      <w:r w:rsidR="00D50D5E">
        <w:rPr>
          <w:i/>
          <w:color w:val="0000FF"/>
        </w:rPr>
        <w:t>maintain an effective</w:t>
      </w:r>
      <w:r w:rsidRPr="00F918CE">
        <w:rPr>
          <w:i/>
          <w:color w:val="0000FF"/>
        </w:rPr>
        <w:t xml:space="preserve"> status quo</w:t>
      </w:r>
      <w:r w:rsidR="0040499D" w:rsidRPr="00F918CE">
        <w:rPr>
          <w:i/>
          <w:color w:val="0000FF"/>
        </w:rPr>
        <w:t xml:space="preserve"> </w:t>
      </w:r>
      <w:r w:rsidR="00D50D5E">
        <w:rPr>
          <w:i/>
          <w:color w:val="0000FF"/>
        </w:rPr>
        <w:t xml:space="preserve">(accounting for the new distributor license type) </w:t>
      </w:r>
      <w:r w:rsidR="0040499D" w:rsidRPr="00F918CE">
        <w:rPr>
          <w:i/>
          <w:color w:val="0000FF"/>
        </w:rPr>
        <w:t xml:space="preserve">with respect to ownership interest requirements under the Medical </w:t>
      </w:r>
      <w:r w:rsidR="00F918CE">
        <w:rPr>
          <w:i/>
          <w:color w:val="0000FF"/>
        </w:rPr>
        <w:t>Marijuana P</w:t>
      </w:r>
      <w:r w:rsidR="0040499D" w:rsidRPr="00F918CE">
        <w:rPr>
          <w:i/>
          <w:color w:val="0000FF"/>
        </w:rPr>
        <w:t>rogram</w:t>
      </w:r>
      <w:r w:rsidR="00B33372">
        <w:rPr>
          <w:i/>
          <w:color w:val="0000FF"/>
        </w:rPr>
        <w:t xml:space="preserve"> per </w:t>
      </w:r>
      <w:r w:rsidR="00B33372" w:rsidRPr="00B33372">
        <w:rPr>
          <w:i/>
          <w:color w:val="0000FF"/>
        </w:rPr>
        <w:t>Adopted Regulation R148-15</w:t>
      </w:r>
      <w:r w:rsidR="0040499D" w:rsidRPr="00F918CE">
        <w:rPr>
          <w:i/>
          <w:color w:val="0000FF"/>
        </w:rPr>
        <w:t>.</w:t>
      </w:r>
      <w:r w:rsidR="00B33372">
        <w:rPr>
          <w:i/>
          <w:color w:val="0000FF"/>
        </w:rPr>
        <w:t xml:space="preserve"> </w:t>
      </w:r>
    </w:p>
    <w:p w14:paraId="1313F6A9" w14:textId="77777777" w:rsidR="00B33372" w:rsidRDefault="00B33372" w:rsidP="001C20DD">
      <w:pPr>
        <w:pStyle w:val="ListParagraph"/>
        <w:spacing w:after="0"/>
        <w:jc w:val="both"/>
        <w:rPr>
          <w:i/>
          <w:color w:val="0000FF"/>
        </w:rPr>
      </w:pPr>
    </w:p>
    <w:p w14:paraId="7FEA5F8C" w14:textId="77777777" w:rsidR="00B33372" w:rsidRPr="00B33372" w:rsidRDefault="00B33372" w:rsidP="001C20DD">
      <w:pPr>
        <w:pStyle w:val="ListParagraph"/>
        <w:spacing w:after="0"/>
        <w:jc w:val="both"/>
        <w:rPr>
          <w:i/>
          <w:color w:val="0000FF"/>
        </w:rPr>
      </w:pPr>
      <w:r w:rsidRPr="00B33372">
        <w:rPr>
          <w:i/>
          <w:color w:val="0000FF"/>
        </w:rPr>
        <w:t>453A.332 1. The Division/Dept. of Taxation will deny an application for an applica</w:t>
      </w:r>
      <w:r>
        <w:rPr>
          <w:i/>
          <w:color w:val="0000FF"/>
        </w:rPr>
        <w:t>nt</w:t>
      </w:r>
      <w:r w:rsidRPr="00B33372">
        <w:rPr>
          <w:i/>
          <w:color w:val="0000FF"/>
        </w:rPr>
        <w:t xml:space="preserve"> to renew a medical marijuana or recreational establishment registration certificate if: </w:t>
      </w:r>
    </w:p>
    <w:p w14:paraId="5D6079DD" w14:textId="77777777" w:rsidR="00B33372" w:rsidRPr="00B33372" w:rsidRDefault="00B33372" w:rsidP="001C20DD">
      <w:pPr>
        <w:pStyle w:val="ListParagraph"/>
        <w:spacing w:after="0"/>
        <w:ind w:left="1800" w:hanging="360"/>
        <w:jc w:val="both"/>
        <w:rPr>
          <w:i/>
          <w:color w:val="0000FF"/>
        </w:rPr>
      </w:pPr>
      <w:r w:rsidRPr="00B33372">
        <w:rPr>
          <w:i/>
          <w:color w:val="0000FF"/>
        </w:rPr>
        <w:t xml:space="preserve">(a) The application or the medical marijuana establishment is not in compliance with any provision of this chapter or chapter 453A and 453D of NRS; or </w:t>
      </w:r>
    </w:p>
    <w:p w14:paraId="593004CD" w14:textId="77777777" w:rsidR="00B33372" w:rsidRPr="00B33372" w:rsidRDefault="00B33372" w:rsidP="001C20DD">
      <w:pPr>
        <w:pStyle w:val="ListParagraph"/>
        <w:spacing w:after="0"/>
        <w:ind w:firstLine="720"/>
        <w:jc w:val="both"/>
        <w:rPr>
          <w:i/>
          <w:color w:val="0000FF"/>
        </w:rPr>
      </w:pPr>
      <w:r w:rsidRPr="00B33372">
        <w:rPr>
          <w:i/>
          <w:color w:val="0000FF"/>
        </w:rPr>
        <w:t xml:space="preserve">(b) An owner, officer or board member of the medical marijuana establishment: </w:t>
      </w:r>
    </w:p>
    <w:p w14:paraId="22350D6F" w14:textId="77777777" w:rsidR="00B33372" w:rsidRPr="00B33372" w:rsidRDefault="00B33372" w:rsidP="001C20DD">
      <w:pPr>
        <w:pStyle w:val="ListParagraph"/>
        <w:spacing w:after="0"/>
        <w:ind w:firstLine="720"/>
        <w:jc w:val="both"/>
        <w:rPr>
          <w:i/>
          <w:color w:val="0000FF"/>
        </w:rPr>
      </w:pPr>
      <w:r w:rsidRPr="00B33372">
        <w:rPr>
          <w:i/>
          <w:color w:val="0000FF"/>
        </w:rPr>
        <w:t xml:space="preserve">(1) Is an employee or contractor of the Division; </w:t>
      </w:r>
    </w:p>
    <w:p w14:paraId="68511072" w14:textId="77777777" w:rsidR="00E9081E" w:rsidRDefault="00B33372" w:rsidP="001C20DD">
      <w:pPr>
        <w:pStyle w:val="ListParagraph"/>
        <w:spacing w:after="0"/>
        <w:ind w:left="1800" w:hanging="360"/>
        <w:jc w:val="both"/>
        <w:rPr>
          <w:i/>
          <w:color w:val="0000FF"/>
        </w:rPr>
      </w:pPr>
      <w:r w:rsidRPr="00B33372">
        <w:rPr>
          <w:i/>
          <w:color w:val="0000FF"/>
        </w:rPr>
        <w:t>(2) Has an ownership or financial investment interest in an independent testing laboratory and also is an owner, officer or board member of a medical marijuana dispensary, cultivation facility or facility for the production of edible marijuana products or marijuana-infused products;</w:t>
      </w:r>
    </w:p>
    <w:p w14:paraId="08F0DD4E" w14:textId="77777777" w:rsidR="001C148D" w:rsidRDefault="001C148D" w:rsidP="001C20DD">
      <w:pPr>
        <w:pStyle w:val="ListParagraph"/>
        <w:spacing w:after="0"/>
        <w:ind w:firstLine="720"/>
        <w:jc w:val="both"/>
        <w:rPr>
          <w:i/>
          <w:color w:val="0000FF"/>
        </w:rPr>
      </w:pPr>
    </w:p>
    <w:p w14:paraId="1B669E6E" w14:textId="77777777" w:rsidR="001C148D" w:rsidRDefault="001C148D" w:rsidP="001C20DD">
      <w:pPr>
        <w:pStyle w:val="ListParagraph"/>
        <w:spacing w:after="0"/>
        <w:ind w:left="1710" w:hanging="270"/>
        <w:jc w:val="both"/>
        <w:rPr>
          <w:i/>
          <w:color w:val="0000FF"/>
        </w:rPr>
      </w:pPr>
      <w:r w:rsidRPr="001C148D">
        <w:rPr>
          <w:i/>
          <w:color w:val="0000FF"/>
        </w:rPr>
        <w:t xml:space="preserve">Sec. 64. 453A.656 An independent testing laboratory shall not handle, test or analyze marijuana unless: </w:t>
      </w:r>
    </w:p>
    <w:p w14:paraId="4AD89211" w14:textId="77777777" w:rsidR="001C148D" w:rsidRDefault="001C148D" w:rsidP="001C20DD">
      <w:pPr>
        <w:pStyle w:val="ListParagraph"/>
        <w:spacing w:after="0"/>
        <w:ind w:firstLine="720"/>
        <w:jc w:val="both"/>
        <w:rPr>
          <w:i/>
          <w:color w:val="0000FF"/>
        </w:rPr>
      </w:pPr>
      <w:r w:rsidRPr="001C148D">
        <w:rPr>
          <w:i/>
          <w:color w:val="0000FF"/>
        </w:rPr>
        <w:t xml:space="preserve">1. The laboratory has been issued a marijuana establishment registration certificate; </w:t>
      </w:r>
    </w:p>
    <w:p w14:paraId="7168612D" w14:textId="77777777" w:rsidR="001C148D" w:rsidRDefault="001C148D" w:rsidP="001C20DD">
      <w:pPr>
        <w:pStyle w:val="ListParagraph"/>
        <w:spacing w:after="0"/>
        <w:ind w:left="1800" w:hanging="360"/>
        <w:jc w:val="both"/>
        <w:rPr>
          <w:i/>
          <w:color w:val="0000FF"/>
        </w:rPr>
      </w:pPr>
      <w:r w:rsidRPr="001C148D">
        <w:rPr>
          <w:i/>
          <w:color w:val="0000FF"/>
        </w:rPr>
        <w:t xml:space="preserve">2. The laboratory is independent from all other persons involved in the medical marijuana industry in Nevada; and </w:t>
      </w:r>
    </w:p>
    <w:p w14:paraId="4C64F4BB" w14:textId="77777777" w:rsidR="001C148D" w:rsidRDefault="001C148D" w:rsidP="001C20DD">
      <w:pPr>
        <w:pStyle w:val="ListParagraph"/>
        <w:spacing w:after="0"/>
        <w:ind w:left="1800" w:hanging="360"/>
        <w:jc w:val="both"/>
        <w:rPr>
          <w:i/>
          <w:color w:val="0000FF"/>
        </w:rPr>
      </w:pPr>
      <w:r w:rsidRPr="001C148D">
        <w:rPr>
          <w:i/>
          <w:color w:val="0000FF"/>
        </w:rPr>
        <w:t xml:space="preserve">3. No person with a direct or indirect interest in the laboratory has a direct or indirect financial interest in: </w:t>
      </w:r>
    </w:p>
    <w:p w14:paraId="580D8DA9" w14:textId="77777777" w:rsidR="001C148D" w:rsidRDefault="001C148D" w:rsidP="001C20DD">
      <w:pPr>
        <w:pStyle w:val="ListParagraph"/>
        <w:spacing w:after="0"/>
        <w:ind w:firstLine="720"/>
        <w:jc w:val="both"/>
        <w:rPr>
          <w:i/>
          <w:color w:val="0000FF"/>
        </w:rPr>
      </w:pPr>
      <w:r w:rsidRPr="001C148D">
        <w:rPr>
          <w:i/>
          <w:color w:val="0000FF"/>
        </w:rPr>
        <w:t xml:space="preserve">(a) A medical marijuana dispensary; </w:t>
      </w:r>
    </w:p>
    <w:p w14:paraId="1B008388" w14:textId="77777777" w:rsidR="001C148D" w:rsidRDefault="001C148D" w:rsidP="001C20DD">
      <w:pPr>
        <w:pStyle w:val="ListParagraph"/>
        <w:spacing w:after="0"/>
        <w:ind w:left="1800" w:hanging="360"/>
        <w:jc w:val="both"/>
        <w:rPr>
          <w:i/>
          <w:color w:val="0000FF"/>
        </w:rPr>
      </w:pPr>
      <w:r w:rsidRPr="001C148D">
        <w:rPr>
          <w:i/>
          <w:color w:val="0000FF"/>
        </w:rPr>
        <w:t xml:space="preserve">(b) A facility for the production of edible marijuana products or marijuana-infused products; </w:t>
      </w:r>
    </w:p>
    <w:p w14:paraId="7DC2CAE6" w14:textId="77777777" w:rsidR="001C148D" w:rsidRDefault="001C148D" w:rsidP="001C20DD">
      <w:pPr>
        <w:pStyle w:val="ListParagraph"/>
        <w:spacing w:after="0"/>
        <w:ind w:firstLine="720"/>
        <w:jc w:val="both"/>
        <w:rPr>
          <w:i/>
          <w:color w:val="0000FF"/>
        </w:rPr>
      </w:pPr>
      <w:r w:rsidRPr="001C148D">
        <w:rPr>
          <w:i/>
          <w:color w:val="0000FF"/>
        </w:rPr>
        <w:t>(c) A cultivation facility;</w:t>
      </w:r>
    </w:p>
    <w:p w14:paraId="34EED93C" w14:textId="77777777" w:rsidR="0080463D" w:rsidRPr="001C20DD" w:rsidRDefault="0080463D" w:rsidP="001C20DD">
      <w:pPr>
        <w:pStyle w:val="ListParagraph"/>
        <w:spacing w:after="0"/>
        <w:ind w:firstLine="720"/>
        <w:jc w:val="both"/>
        <w:rPr>
          <w:i/>
          <w:color w:val="FF0000"/>
        </w:rPr>
      </w:pPr>
      <w:r w:rsidRPr="001C20DD">
        <w:rPr>
          <w:i/>
          <w:color w:val="FF0000"/>
        </w:rPr>
        <w:t>(d) A distributor;</w:t>
      </w:r>
    </w:p>
    <w:p w14:paraId="4A109A0E" w14:textId="77777777" w:rsidR="001C148D" w:rsidRPr="001C148D" w:rsidRDefault="0080463D" w:rsidP="001C20DD">
      <w:pPr>
        <w:pStyle w:val="ListParagraph"/>
        <w:spacing w:after="0"/>
        <w:ind w:left="1800" w:hanging="360"/>
        <w:jc w:val="both"/>
        <w:rPr>
          <w:i/>
          <w:color w:val="0000FF"/>
        </w:rPr>
      </w:pPr>
      <w:r>
        <w:rPr>
          <w:i/>
          <w:color w:val="0000FF"/>
        </w:rPr>
        <w:t>(e</w:t>
      </w:r>
      <w:r w:rsidR="001C148D" w:rsidRPr="001C148D">
        <w:rPr>
          <w:i/>
          <w:color w:val="0000FF"/>
        </w:rPr>
        <w:t xml:space="preserve">) A physician who provides or has provided written documentation for the issuance of registry identification cards [;] or letters of approval; or </w:t>
      </w:r>
    </w:p>
    <w:p w14:paraId="79F2DAF5" w14:textId="77777777" w:rsidR="001C148D" w:rsidRDefault="0080463D" w:rsidP="001C20DD">
      <w:pPr>
        <w:pStyle w:val="ListParagraph"/>
        <w:spacing w:after="0"/>
        <w:ind w:left="1800" w:hanging="360"/>
        <w:jc w:val="both"/>
        <w:rPr>
          <w:i/>
          <w:color w:val="0000FF"/>
        </w:rPr>
      </w:pPr>
      <w:r>
        <w:rPr>
          <w:i/>
          <w:color w:val="0000FF"/>
        </w:rPr>
        <w:t>(f</w:t>
      </w:r>
      <w:r w:rsidR="001C148D" w:rsidRPr="001C148D">
        <w:rPr>
          <w:i/>
          <w:color w:val="0000FF"/>
        </w:rPr>
        <w:t>) Any other entity that may benefit from the cultivation, manufacture, dispensing, sale, purchase or use of marijuana or marijuana products</w:t>
      </w:r>
    </w:p>
    <w:p w14:paraId="198A114B" w14:textId="510DA57D" w:rsidR="00F67425" w:rsidRPr="00F67425" w:rsidRDefault="00F67425" w:rsidP="001C20DD">
      <w:pPr>
        <w:pStyle w:val="ListParagraph"/>
        <w:spacing w:after="0"/>
        <w:ind w:left="1800" w:hanging="360"/>
        <w:jc w:val="both"/>
        <w:rPr>
          <w:i/>
          <w:color w:val="FF0000"/>
        </w:rPr>
      </w:pPr>
      <w:r w:rsidRPr="00F67425">
        <w:rPr>
          <w:i/>
          <w:color w:val="FF0000"/>
        </w:rPr>
        <w:t>4. Notwithstanding the forgoing, laboratories are exempted from using a distributor to collect and move testing samples.</w:t>
      </w:r>
    </w:p>
    <w:p w14:paraId="51D2466B" w14:textId="77777777" w:rsidR="00B33372" w:rsidRDefault="00B33372" w:rsidP="001C20DD">
      <w:pPr>
        <w:pStyle w:val="ListParagraph"/>
        <w:spacing w:after="0"/>
        <w:jc w:val="both"/>
        <w:rPr>
          <w:i/>
          <w:color w:val="0000FF"/>
        </w:rPr>
      </w:pPr>
    </w:p>
    <w:p w14:paraId="00C26603" w14:textId="77777777" w:rsidR="00D3100E" w:rsidRPr="00F918CE" w:rsidRDefault="00D3100E" w:rsidP="001C20DD">
      <w:pPr>
        <w:pStyle w:val="ListParagraph"/>
        <w:spacing w:after="0"/>
        <w:jc w:val="both"/>
        <w:rPr>
          <w:i/>
          <w:color w:val="0000FF"/>
        </w:rPr>
      </w:pPr>
    </w:p>
    <w:p w14:paraId="0BF71D49" w14:textId="77777777" w:rsidR="001C20DD" w:rsidRDefault="00DC4C91" w:rsidP="001C20DD">
      <w:pPr>
        <w:pStyle w:val="ListParagraph"/>
        <w:numPr>
          <w:ilvl w:val="0"/>
          <w:numId w:val="1"/>
        </w:numPr>
        <w:spacing w:after="0"/>
        <w:jc w:val="both"/>
        <w:rPr>
          <w:color w:val="0000FF"/>
        </w:rPr>
      </w:pPr>
      <w:r>
        <w:t>Which guiding p</w:t>
      </w:r>
      <w:r w:rsidR="00E9081E" w:rsidRPr="003110FB">
        <w:t>rinciple(s) does this recommendation support</w:t>
      </w:r>
      <w:r w:rsidR="00E9081E" w:rsidRPr="00B33372">
        <w:t>?</w:t>
      </w:r>
      <w:r w:rsidR="0040499D" w:rsidRPr="00F918CE">
        <w:rPr>
          <w:color w:val="0000FF"/>
        </w:rPr>
        <w:t xml:space="preserve">   </w:t>
      </w:r>
    </w:p>
    <w:p w14:paraId="34954CCC" w14:textId="77777777" w:rsidR="001C20DD" w:rsidRDefault="001C20DD" w:rsidP="001C20DD">
      <w:pPr>
        <w:pStyle w:val="ListParagraph"/>
        <w:spacing w:after="0"/>
        <w:jc w:val="both"/>
        <w:rPr>
          <w:color w:val="0000FF"/>
        </w:rPr>
      </w:pPr>
    </w:p>
    <w:p w14:paraId="0AE45B5A" w14:textId="1E8FD604" w:rsidR="00E9081E" w:rsidRPr="00F918CE" w:rsidRDefault="0040499D" w:rsidP="001C20DD">
      <w:pPr>
        <w:pStyle w:val="ListParagraph"/>
        <w:spacing w:after="0"/>
        <w:jc w:val="both"/>
        <w:rPr>
          <w:color w:val="0000FF"/>
        </w:rPr>
      </w:pPr>
      <w:r w:rsidRPr="00F918CE">
        <w:rPr>
          <w:i/>
          <w:color w:val="0000FF"/>
        </w:rPr>
        <w:t>Guiding Principle 4</w:t>
      </w:r>
      <w:r w:rsidR="001C20DD">
        <w:rPr>
          <w:i/>
          <w:color w:val="0000FF"/>
        </w:rPr>
        <w:t xml:space="preserve"> – Propose efficient and effective regulation that is clear and reasonable and not unduly burdensome.</w:t>
      </w:r>
    </w:p>
    <w:p w14:paraId="7591556C" w14:textId="77777777" w:rsidR="00E9081E" w:rsidRPr="00F918CE" w:rsidRDefault="00E9081E" w:rsidP="001C20DD">
      <w:pPr>
        <w:spacing w:after="0"/>
        <w:jc w:val="both"/>
        <w:rPr>
          <w:color w:val="0000FF"/>
        </w:rPr>
      </w:pPr>
    </w:p>
    <w:p w14:paraId="6387063F" w14:textId="77777777" w:rsidR="00E9081E" w:rsidRPr="003110FB" w:rsidRDefault="00E9081E" w:rsidP="001C20DD">
      <w:pPr>
        <w:spacing w:after="0"/>
        <w:jc w:val="both"/>
      </w:pPr>
    </w:p>
    <w:p w14:paraId="0F121439" w14:textId="77777777" w:rsidR="001C20DD" w:rsidRPr="001C20DD" w:rsidRDefault="00E9081E" w:rsidP="001C20DD">
      <w:pPr>
        <w:pStyle w:val="ListParagraph"/>
        <w:numPr>
          <w:ilvl w:val="0"/>
          <w:numId w:val="1"/>
        </w:numPr>
        <w:spacing w:after="0"/>
        <w:jc w:val="both"/>
        <w:rPr>
          <w:i/>
          <w:color w:val="0000FF"/>
        </w:rPr>
      </w:pPr>
      <w:r w:rsidRPr="003110FB">
        <w:t xml:space="preserve">What provision(s) of Question 2 does this recommendation apply to?  </w:t>
      </w:r>
    </w:p>
    <w:p w14:paraId="10ABD2FB" w14:textId="77777777" w:rsidR="001C20DD" w:rsidRDefault="001C20DD" w:rsidP="001C20DD">
      <w:pPr>
        <w:pStyle w:val="ListParagraph"/>
        <w:spacing w:after="0"/>
        <w:jc w:val="both"/>
        <w:rPr>
          <w:i/>
          <w:color w:val="0000FF"/>
        </w:rPr>
      </w:pPr>
    </w:p>
    <w:p w14:paraId="4E077C06" w14:textId="439E8E19" w:rsidR="00E9081E" w:rsidRPr="001C20DD" w:rsidRDefault="00502279" w:rsidP="001C20DD">
      <w:pPr>
        <w:pStyle w:val="ListParagraph"/>
        <w:spacing w:after="0"/>
        <w:jc w:val="both"/>
        <w:rPr>
          <w:i/>
          <w:color w:val="0000FF"/>
        </w:rPr>
      </w:pPr>
      <w:r w:rsidRPr="001C20DD">
        <w:rPr>
          <w:i/>
          <w:color w:val="0000FF"/>
        </w:rPr>
        <w:t>Section 2 (b): “</w:t>
      </w:r>
      <w:r w:rsidRPr="001C20DD">
        <w:rPr>
          <w:rFonts w:cs="Helvetica"/>
          <w:i/>
          <w:color w:val="0000FF"/>
        </w:rPr>
        <w:t>Business owners are subject to a review by the State of Nevada to confirm that the business owners and the business location are suitable to produce or sell marijuana.”  Existing owners have already been vetted by the State of Nevada.</w:t>
      </w:r>
    </w:p>
    <w:p w14:paraId="102DC38E" w14:textId="77777777" w:rsidR="00E9081E" w:rsidRDefault="00E9081E" w:rsidP="001C20DD">
      <w:pPr>
        <w:pStyle w:val="ListParagraph"/>
        <w:spacing w:after="0"/>
        <w:jc w:val="both"/>
      </w:pPr>
    </w:p>
    <w:p w14:paraId="46B3DC1A" w14:textId="77777777" w:rsidR="00502279" w:rsidRPr="003110FB" w:rsidRDefault="00502279" w:rsidP="001C20DD">
      <w:pPr>
        <w:pStyle w:val="ListParagraph"/>
        <w:spacing w:after="0"/>
        <w:jc w:val="both"/>
      </w:pPr>
    </w:p>
    <w:p w14:paraId="2AC9B0FD" w14:textId="77777777" w:rsidR="001C20DD" w:rsidRDefault="00E9081E" w:rsidP="001C20DD">
      <w:pPr>
        <w:pStyle w:val="ListParagraph"/>
        <w:numPr>
          <w:ilvl w:val="0"/>
          <w:numId w:val="1"/>
        </w:numPr>
        <w:spacing w:after="0"/>
        <w:jc w:val="both"/>
      </w:pPr>
      <w:r w:rsidRPr="003110FB">
        <w:t>What issue(s) does the recommendation resolve?</w:t>
      </w:r>
      <w:r w:rsidR="00F918CE">
        <w:t xml:space="preserve"> </w:t>
      </w:r>
    </w:p>
    <w:p w14:paraId="545C03FB" w14:textId="77777777" w:rsidR="001C20DD" w:rsidRDefault="001C20DD" w:rsidP="001C20DD">
      <w:pPr>
        <w:pStyle w:val="ListParagraph"/>
        <w:spacing w:after="0"/>
        <w:jc w:val="both"/>
      </w:pPr>
    </w:p>
    <w:p w14:paraId="7D0FB027" w14:textId="6911A553" w:rsidR="001B0ADC" w:rsidRPr="003110FB" w:rsidRDefault="00F918CE" w:rsidP="001C20DD">
      <w:pPr>
        <w:pStyle w:val="ListParagraph"/>
        <w:spacing w:after="0"/>
        <w:jc w:val="both"/>
      </w:pPr>
      <w:r>
        <w:rPr>
          <w:i/>
          <w:color w:val="0000FF"/>
        </w:rPr>
        <w:t xml:space="preserve">Maintaining the status quo 1) prevents potential conflict of interest (by disallowing common ownership </w:t>
      </w:r>
      <w:r w:rsidR="0080463D">
        <w:rPr>
          <w:i/>
          <w:color w:val="0000FF"/>
        </w:rPr>
        <w:t xml:space="preserve">between </w:t>
      </w:r>
      <w:r>
        <w:rPr>
          <w:i/>
          <w:color w:val="0000FF"/>
        </w:rPr>
        <w:t>laboratory owners and owners of other Marijuana Establishments), and 2) provides seamless efficiency from a regulatory / oversight perspective</w:t>
      </w:r>
    </w:p>
    <w:p w14:paraId="50EED128" w14:textId="77777777" w:rsidR="00F918CE" w:rsidRPr="003110FB" w:rsidRDefault="00F918CE" w:rsidP="001C20DD">
      <w:pPr>
        <w:spacing w:after="0"/>
        <w:jc w:val="both"/>
      </w:pPr>
    </w:p>
    <w:p w14:paraId="650045A1" w14:textId="77777777" w:rsidR="001C20DD" w:rsidRDefault="001B0ADC" w:rsidP="001C20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r w:rsidR="0040499D">
        <w:t xml:space="preserve">  </w:t>
      </w:r>
    </w:p>
    <w:p w14:paraId="732120C6" w14:textId="77777777" w:rsidR="001C20DD" w:rsidRDefault="001C20DD" w:rsidP="001C20DD">
      <w:pPr>
        <w:pStyle w:val="ListParagraph"/>
        <w:spacing w:after="0"/>
        <w:jc w:val="both"/>
      </w:pPr>
    </w:p>
    <w:p w14:paraId="74DAD913" w14:textId="567C2194" w:rsidR="00E9081E" w:rsidRPr="003110FB" w:rsidRDefault="0040499D" w:rsidP="001C20DD">
      <w:pPr>
        <w:pStyle w:val="ListParagraph"/>
        <w:spacing w:after="0"/>
        <w:jc w:val="both"/>
      </w:pPr>
      <w:r w:rsidRPr="00F918CE">
        <w:rPr>
          <w:i/>
          <w:color w:val="0000FF"/>
        </w:rPr>
        <w:t>No dissent</w:t>
      </w:r>
    </w:p>
    <w:p w14:paraId="008870CA" w14:textId="77777777" w:rsidR="00F918CE" w:rsidRPr="003110FB" w:rsidRDefault="00F918CE" w:rsidP="001C20DD">
      <w:pPr>
        <w:spacing w:after="0"/>
        <w:jc w:val="both"/>
      </w:pPr>
    </w:p>
    <w:p w14:paraId="58F34F5A" w14:textId="77777777" w:rsidR="001C20DD" w:rsidRPr="001C20DD" w:rsidRDefault="00E9081E" w:rsidP="001C20DD">
      <w:pPr>
        <w:pStyle w:val="ListParagraph"/>
        <w:numPr>
          <w:ilvl w:val="0"/>
          <w:numId w:val="1"/>
        </w:numPr>
        <w:spacing w:after="0"/>
        <w:jc w:val="both"/>
        <w:rPr>
          <w:color w:val="0000FF"/>
        </w:rPr>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40499D">
        <w:t xml:space="preserve">  </w:t>
      </w:r>
    </w:p>
    <w:p w14:paraId="4947F69C" w14:textId="77777777" w:rsidR="001C20DD" w:rsidRDefault="001C20DD" w:rsidP="001C20DD">
      <w:pPr>
        <w:pStyle w:val="ListParagraph"/>
        <w:spacing w:after="0"/>
        <w:jc w:val="both"/>
      </w:pPr>
    </w:p>
    <w:p w14:paraId="0D3C5633" w14:textId="68CC94C3" w:rsidR="00E9081E" w:rsidRPr="001C20DD" w:rsidRDefault="0040499D" w:rsidP="001C20DD">
      <w:pPr>
        <w:pStyle w:val="ListParagraph"/>
        <w:spacing w:after="0"/>
        <w:jc w:val="both"/>
        <w:rPr>
          <w:color w:val="0000FF"/>
        </w:rPr>
      </w:pPr>
      <w:r w:rsidRPr="00F918CE">
        <w:rPr>
          <w:i/>
          <w:color w:val="0000FF"/>
        </w:rPr>
        <w:t>None</w:t>
      </w:r>
    </w:p>
    <w:p w14:paraId="5EC38A0D" w14:textId="77777777" w:rsidR="00F918CE" w:rsidRPr="003110FB" w:rsidRDefault="00F918CE" w:rsidP="001C20DD">
      <w:pPr>
        <w:pStyle w:val="ListParagraph"/>
        <w:spacing w:after="0"/>
        <w:jc w:val="both"/>
      </w:pPr>
    </w:p>
    <w:p w14:paraId="0B73F1BB" w14:textId="77777777" w:rsidR="001C20DD" w:rsidRPr="001C20DD" w:rsidRDefault="00CC30A8" w:rsidP="001C20DD">
      <w:pPr>
        <w:pStyle w:val="ListParagraph"/>
        <w:numPr>
          <w:ilvl w:val="0"/>
          <w:numId w:val="1"/>
        </w:numPr>
        <w:spacing w:after="0"/>
        <w:jc w:val="both"/>
        <w:rPr>
          <w:color w:val="0000FF"/>
        </w:rPr>
      </w:pPr>
      <w:r w:rsidRPr="003110FB">
        <w:t>Additional information (cost of implementation, priority according to the recommendations, etc)</w:t>
      </w:r>
      <w:r w:rsidR="00B70E4E" w:rsidRPr="003110FB">
        <w:t>.</w:t>
      </w:r>
      <w:r w:rsidR="0040499D">
        <w:t xml:space="preserve">  </w:t>
      </w:r>
    </w:p>
    <w:p w14:paraId="6C63E405" w14:textId="77777777" w:rsidR="001C20DD" w:rsidRDefault="001C20DD" w:rsidP="001C20DD">
      <w:pPr>
        <w:pStyle w:val="ListParagraph"/>
        <w:spacing w:after="0"/>
        <w:jc w:val="both"/>
      </w:pPr>
    </w:p>
    <w:p w14:paraId="5DF86936" w14:textId="4F2F7659" w:rsidR="00F918CE" w:rsidRDefault="0040499D" w:rsidP="001C20DD">
      <w:pPr>
        <w:pStyle w:val="ListParagraph"/>
        <w:spacing w:after="0"/>
        <w:jc w:val="both"/>
        <w:rPr>
          <w:i/>
          <w:color w:val="0000FF"/>
        </w:rPr>
      </w:pPr>
      <w:r w:rsidRPr="00F918CE">
        <w:rPr>
          <w:i/>
          <w:color w:val="0000FF"/>
        </w:rPr>
        <w:t>None</w:t>
      </w:r>
    </w:p>
    <w:p w14:paraId="6ADC08C6" w14:textId="77777777" w:rsidR="001C20DD" w:rsidRPr="001C20DD" w:rsidRDefault="001C20DD" w:rsidP="001C20DD">
      <w:pPr>
        <w:pStyle w:val="ListParagraph"/>
        <w:spacing w:after="0"/>
        <w:jc w:val="both"/>
        <w:rPr>
          <w:color w:val="0000FF"/>
        </w:rPr>
      </w:pPr>
    </w:p>
    <w:p w14:paraId="64FAA849" w14:textId="77777777" w:rsidR="001C20DD" w:rsidRPr="00753FA6" w:rsidRDefault="001C20DD">
      <w:pPr>
        <w:spacing w:after="0"/>
        <w:ind w:left="810" w:hanging="90"/>
        <w:jc w:val="both"/>
        <w:rPr>
          <w:b/>
          <w:sz w:val="18"/>
          <w:szCs w:val="18"/>
        </w:rPr>
      </w:pPr>
    </w:p>
    <w:sectPr w:rsidR="001C20DD"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42AA" w14:textId="77777777" w:rsidR="00090A7D" w:rsidRDefault="00090A7D" w:rsidP="00391997">
      <w:pPr>
        <w:spacing w:after="0" w:line="240" w:lineRule="auto"/>
      </w:pPr>
      <w:r>
        <w:separator/>
      </w:r>
    </w:p>
  </w:endnote>
  <w:endnote w:type="continuationSeparator" w:id="0">
    <w:p w14:paraId="0028D769" w14:textId="77777777" w:rsidR="00090A7D" w:rsidRDefault="00090A7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FE6D" w14:textId="3FADCCBF" w:rsidR="00502279" w:rsidRPr="00F43822" w:rsidRDefault="0050227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7674A3C0" wp14:editId="73BAFF6C">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1E99A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FA57F1">
      <w:rPr>
        <w:rFonts w:ascii="Calibri" w:eastAsia="Times New Roman" w:hAnsi="Calibri" w:cs="Times New Roman"/>
        <w:b/>
        <w:i/>
        <w:color w:val="3737A5"/>
        <w:sz w:val="16"/>
        <w:szCs w:val="16"/>
      </w:rPr>
      <w:t>Ownership Interest v. 3 -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A57F1">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14:paraId="77EB7B5A" w14:textId="77777777" w:rsidR="00502279" w:rsidRPr="00F43822" w:rsidRDefault="00502279"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1FE83125" w14:textId="77777777" w:rsidR="00502279" w:rsidRDefault="0050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3164" w14:textId="77777777" w:rsidR="00090A7D" w:rsidRDefault="00090A7D" w:rsidP="00391997">
      <w:pPr>
        <w:spacing w:after="0" w:line="240" w:lineRule="auto"/>
      </w:pPr>
      <w:r>
        <w:separator/>
      </w:r>
    </w:p>
  </w:footnote>
  <w:footnote w:type="continuationSeparator" w:id="0">
    <w:p w14:paraId="629F2660" w14:textId="77777777" w:rsidR="00090A7D" w:rsidRDefault="00090A7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DB17" w14:textId="415981F2" w:rsidR="00502279" w:rsidRPr="00F43822" w:rsidRDefault="00FA57F1" w:rsidP="008313F9">
    <w:pPr>
      <w:pStyle w:val="Heading2"/>
      <w:ind w:left="0"/>
      <w:jc w:val="center"/>
      <w:rPr>
        <w:sz w:val="22"/>
        <w:szCs w:val="22"/>
      </w:rPr>
    </w:pPr>
    <w:r>
      <w:rPr>
        <w:sz w:val="22"/>
        <w:szCs w:val="22"/>
      </w:rPr>
      <w:t>Ownership Interest - Recommendation</w:t>
    </w:r>
  </w:p>
  <w:p w14:paraId="2426F5B9" w14:textId="77777777" w:rsidR="00502279" w:rsidRDefault="00502279" w:rsidP="008313F9">
    <w:pPr>
      <w:pStyle w:val="Header"/>
      <w:jc w:val="center"/>
    </w:pPr>
    <w:r>
      <w:rPr>
        <w:noProof/>
      </w:rPr>
      <w:drawing>
        <wp:inline distT="0" distB="0" distL="0" distR="0" wp14:anchorId="23B81F2E" wp14:editId="6990E38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7EB43922"/>
    <w:lvl w:ilvl="0" w:tplc="594070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0A7D"/>
    <w:rsid w:val="000A61D0"/>
    <w:rsid w:val="000B01A4"/>
    <w:rsid w:val="00114EF2"/>
    <w:rsid w:val="001325C8"/>
    <w:rsid w:val="001866F9"/>
    <w:rsid w:val="001B0ADC"/>
    <w:rsid w:val="001B10FF"/>
    <w:rsid w:val="001C148D"/>
    <w:rsid w:val="001C20DD"/>
    <w:rsid w:val="00202E4C"/>
    <w:rsid w:val="0023729A"/>
    <w:rsid w:val="003110FB"/>
    <w:rsid w:val="00391997"/>
    <w:rsid w:val="004039AB"/>
    <w:rsid w:val="0040499D"/>
    <w:rsid w:val="00435662"/>
    <w:rsid w:val="00442A3F"/>
    <w:rsid w:val="00497E5F"/>
    <w:rsid w:val="00502279"/>
    <w:rsid w:val="00565923"/>
    <w:rsid w:val="005E102D"/>
    <w:rsid w:val="006B0A7E"/>
    <w:rsid w:val="006D4662"/>
    <w:rsid w:val="00700DCA"/>
    <w:rsid w:val="00753FA6"/>
    <w:rsid w:val="007746E2"/>
    <w:rsid w:val="00774894"/>
    <w:rsid w:val="007765FD"/>
    <w:rsid w:val="007A4A8C"/>
    <w:rsid w:val="0080463D"/>
    <w:rsid w:val="008313F9"/>
    <w:rsid w:val="00882EE9"/>
    <w:rsid w:val="008D5094"/>
    <w:rsid w:val="008F0634"/>
    <w:rsid w:val="009201F4"/>
    <w:rsid w:val="009264B2"/>
    <w:rsid w:val="00957E83"/>
    <w:rsid w:val="00961D8A"/>
    <w:rsid w:val="009805E6"/>
    <w:rsid w:val="00996A51"/>
    <w:rsid w:val="009D1938"/>
    <w:rsid w:val="00A062D8"/>
    <w:rsid w:val="00A312E6"/>
    <w:rsid w:val="00A65F54"/>
    <w:rsid w:val="00AB71F7"/>
    <w:rsid w:val="00B11C15"/>
    <w:rsid w:val="00B33372"/>
    <w:rsid w:val="00B70E4E"/>
    <w:rsid w:val="00BC0B03"/>
    <w:rsid w:val="00BC0F10"/>
    <w:rsid w:val="00BF6BBC"/>
    <w:rsid w:val="00CC30A8"/>
    <w:rsid w:val="00CD5595"/>
    <w:rsid w:val="00D22E65"/>
    <w:rsid w:val="00D3100E"/>
    <w:rsid w:val="00D50D5E"/>
    <w:rsid w:val="00D926ED"/>
    <w:rsid w:val="00DA287B"/>
    <w:rsid w:val="00DC372B"/>
    <w:rsid w:val="00DC4C91"/>
    <w:rsid w:val="00DD1A10"/>
    <w:rsid w:val="00DE0ABD"/>
    <w:rsid w:val="00E9081E"/>
    <w:rsid w:val="00E96CEA"/>
    <w:rsid w:val="00EC03A5"/>
    <w:rsid w:val="00F046BC"/>
    <w:rsid w:val="00F10A64"/>
    <w:rsid w:val="00F27CF2"/>
    <w:rsid w:val="00F43822"/>
    <w:rsid w:val="00F67425"/>
    <w:rsid w:val="00F854D5"/>
    <w:rsid w:val="00F918CE"/>
    <w:rsid w:val="00FA57F1"/>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84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3B3D-8B6B-4224-97B3-4725794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2017-04-04T16:02:00Z</dcterms:created>
  <dcterms:modified xsi:type="dcterms:W3CDTF">2017-04-04T16:02:00Z</dcterms:modified>
</cp:coreProperties>
</file>